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POLITYKA PRYWATNOŚCI I PAMIĘCI URZĄDZENIA</w:t>
      </w:r>
    </w:p>
    <w:p>
      <w:pPr>
        <w:jc w:val="center"/>
      </w:pPr>
      <w:r>
        <w:rPr>
          <w:b/>
          <w:color w:val="5A5A5A"/>
          <w:sz w:val="22"/>
        </w:rPr>
        <w:t>dla usługi Salonivo</w:t>
      </w:r>
    </w:p>
    <w:p>
      <w:pPr>
        <w:jc w:val="center"/>
      </w:pPr>
      <w:r>
        <w:rPr>
          <w:i/>
          <w:sz w:val="18"/>
        </w:rPr>
        <w:t>Stan opracowania: 18 września 2026 r.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tcMar>
              <w:top w:w="120" w:type="dxa"/>
              <w:start w:w="160" w:type="dxa"/>
              <w:bottom w:w="120" w:type="dxa"/>
              <w:end w:w="160" w:type="dxa"/>
            </w:tcMar>
            <w:shd w:fill="F2F2F2"/>
          </w:tcPr>
          <w:p>
            <w:pPr/>
            <w:r>
              <w:rPr>
                <w:b w:val="0"/>
                <w:sz w:val="19"/>
              </w:rPr>
              <w:t>Polityka rozróżnia dwie role: (1) Usługodawca jako administrator danych Konta/rozliczeń/wsparcia oraz (2) Usługodawca jako podmiot przetwarzający dane wprowadzane przez salon. Nie należy zastępować tej polityki „zgodą na RODO” – podstawy prawne zależą od celu przetwarzania.</w:t>
            </w:r>
          </w:p>
        </w:tc>
      </w:tr>
    </w:tbl>
    <w:p/>
    <w:p>
      <w:pPr>
        <w:pStyle w:val="Heading1"/>
      </w:pPr>
      <w:r>
        <w:t>1. Administrator danych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rPr>
                <w:b/>
              </w:rPr>
              <w:t>Administrator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t>H&amp;S Agnieszka Adamska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rPr>
                <w:b/>
              </w:rPr>
              <w:t>Adres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t>ul. Bażantów 24/9, 40-668 Katowice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rPr>
                <w:b/>
              </w:rPr>
              <w:t>NIP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t>2220930216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rPr>
                <w:b/>
              </w:rPr>
              <w:t>E-mail prywatności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kontakt@salonivo.pl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rPr>
                <w:b/>
              </w:rPr>
              <w:t>IOD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t>Nie wyznaczono, chyba że w przyszłości powstanie taki obowiązek / decyzja</w:t>
            </w:r>
          </w:p>
        </w:tc>
      </w:tr>
    </w:tbl>
    <w:p/>
    <w:p>
      <w:pPr>
        <w:pStyle w:val="Heading1"/>
      </w:pPr>
      <w:r>
        <w:t>2. Kiedy Usługodawca jest administratorem, a kiedy procesorem</w:t>
      </w:r>
    </w:p>
    <w:p>
      <w:pPr>
        <w:pStyle w:val="ListNumber"/>
      </w:pPr>
      <w:r>
        <w:t>Usługodawca jest administratorem danych potrzebnych do utworzenia i obsługi Konta, rozliczeń, licencji/subskrypcji, kontaktu, wsparcia, bezpieczeństwa i ochrony przed nadużyciami.</w:t>
      </w:r>
    </w:p>
    <w:p>
      <w:pPr>
        <w:pStyle w:val="ListNumber"/>
      </w:pPr>
      <w:r>
        <w:t>Jeżeli Klient wprowadza do Salonu dane osobowe pracowników, współpracowników lub klientów, Klient decyduje o celu i zakresie tych danych i co do zasady pozostaje ich administratorem. Usługodawca przetwarza je w imieniu Klienta na podstawie Umowy Powierzenia.</w:t>
      </w:r>
    </w:p>
    <w:p>
      <w:pPr>
        <w:pStyle w:val="ListNumber"/>
      </w:pPr>
      <w:r>
        <w:t>Klient powinien przekazać osobom, których dane wprowadza, własną klauzulę informacyjną obejmującą korzystanie z systemu SaaS.</w:t>
      </w:r>
    </w:p>
    <w:p>
      <w:pPr>
        <w:pStyle w:val="Heading1"/>
      </w:pPr>
      <w:r>
        <w:t>3. Kategorie danych i cele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rPr>
          <w:cantSplit/>
          <w:tblHeader w:val="true"/>
        </w:trPr>
        <w:tc>
          <w:tcPr>
            <w:tcW w:type="dxa" w:w="2436"/>
            <w:shd w:fill="EDEDED"/>
          </w:tcPr>
          <w:p>
            <w:pPr/>
            <w:r>
              <w:rPr>
                <w:b/>
              </w:rPr>
              <w:t>Kategoria</w:t>
            </w:r>
          </w:p>
        </w:tc>
        <w:tc>
          <w:tcPr>
            <w:tcW w:type="dxa" w:w="2436"/>
            <w:shd w:fill="EDEDED"/>
          </w:tcPr>
          <w:p>
            <w:pPr/>
            <w:r>
              <w:rPr>
                <w:b/>
              </w:rPr>
              <w:t>Przykłady</w:t>
            </w:r>
          </w:p>
        </w:tc>
        <w:tc>
          <w:tcPr>
            <w:tcW w:type="dxa" w:w="2436"/>
            <w:shd w:fill="EDEDED"/>
          </w:tcPr>
          <w:p>
            <w:pPr/>
            <w:r>
              <w:rPr>
                <w:b/>
              </w:rPr>
              <w:t>Cel</w:t>
            </w:r>
          </w:p>
        </w:tc>
        <w:tc>
          <w:tcPr>
            <w:tcW w:type="dxa" w:w="2436"/>
            <w:shd w:fill="EDEDED"/>
          </w:tcPr>
          <w:p>
            <w:pPr/>
            <w:r>
              <w:rPr>
                <w:b/>
              </w:rPr>
              <w:t>Podstawa prawna</w:t>
            </w:r>
          </w:p>
        </w:tc>
      </w:tr>
      <w:tr>
        <w:trPr>
          <w:cantSplit/>
        </w:trPr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Dane konta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imię/nazwa wyświetlana, e-mail/login, identyfikatory konta i salonu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rejestracja, logowanie, świadczenie usługi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art. 6 ust. 1 lit. b RODO – wykonanie umowy</w:t>
            </w:r>
          </w:p>
        </w:tc>
      </w:tr>
      <w:tr>
        <w:trPr>
          <w:cantSplit/>
        </w:trPr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Dane firmy i rozliczeń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firma, NIP, dane dokumentu sprzedaży, plan/licencja, płatność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rozliczenie, fakturowanie, obowiązki podatkowe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art. 6 ust. 1 lit. b i c RODO</w:t>
            </w:r>
          </w:p>
        </w:tc>
      </w:tr>
      <w:tr>
        <w:trPr>
          <w:cantSplit/>
        </w:trPr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Dane wsparcia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treść zgłoszenia, korespondencja, dane techniczne problemu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obsługa zgłoszeń i reklamacji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art. 6 ust. 1 lit. b lub f RODO</w:t>
            </w:r>
          </w:p>
        </w:tc>
      </w:tr>
      <w:tr>
        <w:trPr>
          <w:cantSplit/>
        </w:trPr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Dane bezpieczeństwa i eksploatacyjne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czas logowania, identyfikatory techniczne, informacje o sesji/synchronizacji, adres IP w logach dostawców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bezpieczeństwo, diagnostyka, przeciwdziałanie nadużyciom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art. 6 ust. 1 lit. f RODO</w:t>
            </w:r>
          </w:p>
        </w:tc>
      </w:tr>
      <w:tr>
        <w:trPr>
          <w:cantSplit/>
        </w:trPr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Dane marketingowe – jeżeli uruchomione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e-mail, historia zgody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newsletter/oferty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art. 6 ust. 1 lit. a RODO oraz wymagane zgody komunikacyjne</w:t>
            </w:r>
          </w:p>
        </w:tc>
      </w:tr>
      <w:tr>
        <w:trPr>
          <w:cantSplit/>
        </w:trPr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Dane salonu przetwarzane w imieniu Klienta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nazwy pracowników, raporty usług, rozliczenia, ustawienia, notatki wprowadzone przez Klienta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działanie funkcji Aplikacji</w:t>
            </w:r>
          </w:p>
        </w:tc>
        <w:tc>
          <w:tcPr>
            <w:tcW w:type="dxa" w:w="2436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/>
            <w:r>
              <w:t>art. 28 RODO – przetwarzanie na zlecenie Klienta; podstawę wobec osób ustala Klient</w:t>
            </w:r>
          </w:p>
        </w:tc>
      </w:tr>
    </w:tbl>
    <w:p/>
    <w:p>
      <w:pPr>
        <w:pStyle w:val="Heading1"/>
      </w:pPr>
      <w:r>
        <w:t>4. Źródła danych</w:t>
      </w:r>
    </w:p>
    <w:p>
      <w:pPr>
        <w:pStyle w:val="ListBullet"/>
      </w:pPr>
      <w:r>
        <w:t>bezpośrednio od Klienta/Użytkownika podczas rejestracji, konfiguracji, korzystania z Aplikacji i kontaktu z pomocą</w:t>
      </w:r>
    </w:p>
    <w:p>
      <w:pPr>
        <w:pStyle w:val="ListBullet"/>
      </w:pPr>
      <w:r>
        <w:t>automatycznie z systemów i urządzeń podczas korzystania, w zakresie niezbędnym do bezpieczeństwa, sesji, synchronizacji i diagnostyki</w:t>
      </w:r>
    </w:p>
    <w:p>
      <w:pPr>
        <w:pStyle w:val="ListBullet"/>
      </w:pPr>
      <w:r>
        <w:t>od dostawców płatności lub infrastruktury – wyłącznie w zakresie potrzebnym do rozliczenia lub obsługi usługi, jeżeli taka integracja jest używana</w:t>
      </w:r>
    </w:p>
    <w:p>
      <w:pPr>
        <w:pStyle w:val="Heading1"/>
      </w:pPr>
      <w:r>
        <w:t>5. Pamięć urządzenia, PWA i dane lokalne</w:t>
      </w:r>
    </w:p>
    <w:p>
      <w:pPr>
        <w:pStyle w:val="ListNumber"/>
      </w:pPr>
      <w:r>
        <w:t>Aplikacja wykorzystuje mechanizmy pamięci przeglądarki/urządzenia niezbędne do działania: localStorage, sessionStorage, IndexedDB, Cache Storage oraz Service Worker.</w:t>
      </w:r>
    </w:p>
    <w:p>
      <w:pPr>
        <w:pStyle w:val="ListNumber"/>
      </w:pPr>
      <w:r>
        <w:t>W pamięci lokalnej mogą znajdować się m.in. ustawienia Salonu, lokalny cache raportów i rozliczeń, rotacyjne backupy lokalne, dane wersji/licencji, kursor synchronizacji, dane techniczne sesji oraz ustawienia interfejsu.</w:t>
      </w:r>
    </w:p>
    <w:p>
      <w:pPr>
        <w:pStyle w:val="ListNumber"/>
      </w:pPr>
      <w:r>
        <w:t>Jeżeli Użytkownik wybierze zapamiętanie logowania, identyfikator/login może być zapisany lokalnie. W aktualnej wersji hasło jest – na wspieranych urządzeniach – szyfrowane lokalnie z użyciem Web Crypto/AES-GCM i przechowywane w IndexedDB; jeżeli bezpieczny mechanizm nie jest dostępny, Aplikacja nie powinna zapisywać hasła w postaci jawnej.</w:t>
      </w:r>
    </w:p>
    <w:p>
      <w:pPr>
        <w:pStyle w:val="ListNumber"/>
      </w:pPr>
      <w:r>
        <w:t>Funkcja „Wyloguj i usuń dane z urządzenia” służy do usuwania danych lokalnych danego urządzenia. Przed jej użyciem Użytkownik powinien upewnić się, że stan chmury jest poprawnie zsynchronizowany.</w:t>
      </w:r>
    </w:p>
    <w:p>
      <w:pPr>
        <w:pStyle w:val="ListNumber"/>
      </w:pPr>
      <w:r>
        <w:t>Na dzień tej wersji Aplikacja nie wykorzystuje we własnym kodzie reklamowych/marketingowych cookies. Jeżeli w przyszłości zostaną dodane narzędzia analityczne lub marketingowe niewymagane do świadczenia żądanej usługi, zostanie wdrożony mechanizm uprzedniej zgody zgodny z obowiązującym prawem.</w:t>
      </w:r>
    </w:p>
    <w:p>
      <w:pPr>
        <w:pStyle w:val="ListNumber"/>
      </w:pPr>
      <w:r>
        <w:t>Mechanizmy pamięci niezbędne do dostarczenia usługi żądanej przez Użytkownika mogą być stosowane bez odrębnej zgody na podstawie wyjątku dla elementów koniecznych do dostarczenia usługi; Użytkownik powinien jednak otrzymać jasną informację o ich celu.</w:t>
      </w:r>
    </w:p>
    <w:p>
      <w:pPr>
        <w:pStyle w:val="Heading1"/>
      </w:pPr>
      <w:r>
        <w:t>6. Odbiorcy i dostawcy infrastruktury</w:t>
      </w:r>
    </w:p>
    <w:p>
      <w:pPr>
        <w:pStyle w:val="ListNumber"/>
      </w:pPr>
      <w:r>
        <w:t>Dane mogą być powierzane dostawcom hostingu, bazy danych, uwierzytelniania, CDN, poczty, wsparcia, płatności lub księgowości – wyłącznie w zakresie potrzebnym do ich roli.</w:t>
      </w:r>
    </w:p>
    <w:p>
      <w:pPr>
        <w:pStyle w:val="ListNumber"/>
      </w:pPr>
      <w:r>
        <w:t>Aktualnie techniczna architektura Aplikacji wykorzystuje m.in. Supabase (backend, uwierzytelnianie i baza danych), Netlify (hosting/front-end/CDN) oraz Plus Five Five, Inc. / Resend (wysyłka wiadomości transakcyjnych i powiadomień e-mail).</w:t>
      </w:r>
    </w:p>
    <w:p>
      <w:pPr>
        <w:pStyle w:val="ListNumber"/>
      </w:pPr>
      <w:r>
        <w:t>Podmioty publiczne mogą otrzymać dane, jeżeli wynika to z obowiązującego prawa i prawidłowego żądania.</w:t>
      </w:r>
    </w:p>
    <w:p>
      <w:pPr>
        <w:pStyle w:val="Heading1"/>
      </w:pPr>
      <w:r>
        <w:t>7. Przekazywanie poza EOG</w:t>
      </w:r>
    </w:p>
    <w:p>
      <w:pPr>
        <w:pStyle w:val="ListNumber"/>
      </w:pPr>
      <w:r>
        <w:t>Główne dane projektu Supabase są skonfigurowane w regionie Central EU (Frankfurt). Sama lokalizacja projektu nie oznacza jednak, że każdy proces pomocniczy dostawcy odbywa się wyłącznie w EOG.</w:t>
      </w:r>
    </w:p>
    <w:p>
      <w:pPr>
        <w:pStyle w:val="ListNumber"/>
      </w:pPr>
      <w:r>
        <w:t>Niektórzy dostawcy mogą przetwarzać określone dane poza EOG. Resend informuje, że dane klienta, w tym treść wiadomości i logi dostarczenia, są przechowywane w USA; transfery są zabezpieczane m.in. standardowymi klauzulami umownymi (SCC) oraz EU-US Data Privacy Framework, gdy ma zastosowanie. W pozostałych przypadkach Usługodawca stosuje mechanizmy transferowe przewidziane przez RODO odpowiednie dla danego dostawcy.</w:t>
      </w:r>
    </w:p>
    <w:p>
      <w:pPr>
        <w:pStyle w:val="Heading1"/>
      </w:pPr>
      <w:r>
        <w:t>8. Okresy przechowywania</w:t>
      </w:r>
    </w:p>
    <w:p>
      <w:pPr>
        <w:pStyle w:val="ListBullet"/>
      </w:pPr>
      <w:r>
        <w:t>konto i dane umowne – przez czas trwania umowy, a następnie przez okres niezbędny do obrony/dochodzenia roszczeń i obsługi rozliczeń;</w:t>
      </w:r>
    </w:p>
    <w:p>
      <w:pPr>
        <w:pStyle w:val="ListBullet"/>
      </w:pPr>
      <w:r>
        <w:t>dokumenty księgowe/podatkowe – przez okres wymagany przepisami podatkowymi i rachunkowymi;</w:t>
      </w:r>
    </w:p>
    <w:p>
      <w:pPr>
        <w:pStyle w:val="ListBullet"/>
      </w:pPr>
      <w:r>
        <w:t>korespondencja wsparcia/reklamacji – do zakończenia sprawy i przez okres uzasadniony możliwością roszczeń lub powrotu do zgłoszenia;</w:t>
      </w:r>
    </w:p>
    <w:p>
      <w:pPr>
        <w:pStyle w:val="ListBullet"/>
      </w:pPr>
      <w:r>
        <w:t>dane bezpieczeństwa/diagnostyczne – przez okres niezbędny do bezpieczeństwa i analizy incydentów, zgodnie z faktyczną konfiguracją logów dostawców;</w:t>
      </w:r>
    </w:p>
    <w:p>
      <w:pPr>
        <w:pStyle w:val="ListBullet"/>
      </w:pPr>
      <w:r>
        <w:t>dane Salonu przetwarzane jako procesor – przez czas świadczenia usługi, a po zakończeniu zgodnie z Umową Powierzenia, co do zasady usunięcie z aktywnych systemów do 30 dni, z zastrzeżeniem rotacji kopii bezpieczeństwa i obowiązków prawnych.</w:t>
      </w:r>
    </w:p>
    <w:p>
      <w:pPr>
        <w:pStyle w:val="Heading1"/>
      </w:pPr>
      <w:r>
        <w:t>9. Prawa osób</w:t>
      </w:r>
    </w:p>
    <w:p>
      <w:pPr>
        <w:pStyle w:val="ListBullet"/>
      </w:pPr>
      <w:r>
        <w:t>prawo dostępu do danych i otrzymania ich kopii</w:t>
      </w:r>
    </w:p>
    <w:p>
      <w:pPr>
        <w:pStyle w:val="ListBullet"/>
      </w:pPr>
      <w:r>
        <w:t>prawo sprostowania danych</w:t>
      </w:r>
    </w:p>
    <w:p>
      <w:pPr>
        <w:pStyle w:val="ListBullet"/>
      </w:pPr>
      <w:r>
        <w:t>prawo usunięcia danych – jeżeli spełnione są przesłanki</w:t>
      </w:r>
    </w:p>
    <w:p>
      <w:pPr>
        <w:pStyle w:val="ListBullet"/>
      </w:pPr>
      <w:r>
        <w:t>prawo ograniczenia przetwarzania</w:t>
      </w:r>
    </w:p>
    <w:p>
      <w:pPr>
        <w:pStyle w:val="ListBullet"/>
      </w:pPr>
      <w:r>
        <w:t>prawo przenoszenia danych – gdy ma zastosowanie</w:t>
      </w:r>
    </w:p>
    <w:p>
      <w:pPr>
        <w:pStyle w:val="ListBullet"/>
      </w:pPr>
      <w:r>
        <w:t>prawo sprzeciwu wobec przetwarzania opartego na uzasadnionym interesie</w:t>
      </w:r>
    </w:p>
    <w:p>
      <w:pPr>
        <w:pStyle w:val="ListBullet"/>
      </w:pPr>
      <w:r>
        <w:t>prawo wycofania zgody w dowolnym momencie – bez wpływu na zgodność wcześniejszego przetwarzania</w:t>
      </w:r>
    </w:p>
    <w:p>
      <w:pPr>
        <w:pStyle w:val="ListBullet"/>
      </w:pPr>
      <w:r>
        <w:t>prawo wniesienia skargi do Prezesa Urzędu Ochrony Danych Osobowych</w:t>
      </w:r>
    </w:p>
    <w:p>
      <w:r>
        <w:t>Jeżeli żądanie dotyczy danych, dla których administratorem jest konkretny salon/Pracodawca, Usługodawca może przekazać żądanie temu administratorowi albo wskazać osobie właściwy punkt kontaktu.</w:t>
      </w:r>
    </w:p>
    <w:p>
      <w:pPr>
        <w:pStyle w:val="Heading1"/>
      </w:pPr>
      <w:r>
        <w:t>10. Zautomatyzowane decyzje</w:t>
      </w:r>
    </w:p>
    <w:p>
      <w:r>
        <w:t>Usługodawca nie planuje podejmować wobec Użytkowników decyzji wywołujących skutki prawne lub podobnie istotnie wpływających na osobę wyłącznie na podstawie zautomatyzowanego przetwarzania. Statystyki i rankingi w Aplikacji mają charakter informacyjny i operacyjny.</w:t>
      </w:r>
    </w:p>
    <w:p>
      <w:pPr>
        <w:pStyle w:val="Heading1"/>
      </w:pPr>
      <w:r>
        <w:t>11. Bezpieczeństwo</w:t>
      </w:r>
    </w:p>
    <w:p>
      <w:pPr>
        <w:pStyle w:val="ListBullet"/>
      </w:pPr>
      <w:r>
        <w:t>szyfrowane połączenia HTTPS/TLS</w:t>
      </w:r>
    </w:p>
    <w:p>
      <w:pPr>
        <w:pStyle w:val="ListBullet"/>
      </w:pPr>
      <w:r>
        <w:t>uwierzytelnianie i kontrola dostępu do Salonu według ról</w:t>
      </w:r>
    </w:p>
    <w:p>
      <w:pPr>
        <w:pStyle w:val="ListBullet"/>
      </w:pPr>
      <w:r>
        <w:t>logiczne rozdzielenie danych salonów po stronie backendu</w:t>
      </w:r>
    </w:p>
    <w:p>
      <w:pPr>
        <w:pStyle w:val="ListBullet"/>
      </w:pPr>
      <w:r>
        <w:t>lokalne szyfrowanie zapamiętanego hasła na wspieranych urządzeniach</w:t>
      </w:r>
    </w:p>
    <w:p>
      <w:pPr>
        <w:pStyle w:val="ListBullet"/>
      </w:pPr>
      <w:r>
        <w:t>aktualizacje aplikacji i Service Workera</w:t>
      </w:r>
    </w:p>
    <w:p>
      <w:pPr>
        <w:pStyle w:val="ListBullet"/>
      </w:pPr>
      <w:r>
        <w:t>procedury ograniczania dostępu administracyjnego do danych oraz obsługi incydentów</w:t>
      </w:r>
    </w:p>
    <w:p>
      <w:pPr>
        <w:pStyle w:val="ListBullet"/>
      </w:pPr>
      <w:r>
        <w:t>regularne testy i przeglądy adekwatne do skali i ryzyka usługi</w:t>
      </w:r>
    </w:p>
    <w:p>
      <w:pPr>
        <w:pStyle w:val="Heading1"/>
      </w:pPr>
      <w:r>
        <w:t>12. Kontakt i zmiany Polityki</w:t>
      </w:r>
    </w:p>
    <w:p>
      <w:r>
        <w:t>Pytania dotyczące prywatności należy kierować na kontakt@salonivo.pl. Polityka może być aktualizowana wraz ze zmianą prawa, funkcjonalności, infrastruktury lub dostawców. Data aktualnej wersji powinna być zawsze widoczna w Aplikacji.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footerReference w:type="even" r:id="rId12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787878"/>
        <w:sz w:val="16"/>
      </w:rPr>
      <w:t>Wersja dokumentu 1.1 • 18 września 2026 r.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color w:val="6E6E6E"/>
        <w:sz w:val="16"/>
      </w:rPr>
      <w:t>Salonivo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Liberation Sans" w:hAnsi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C1C1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C1C1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C1C1C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1C1C1C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