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REGULAMIN ŚWIADCZENIA USŁUGI „SALONIVO”</w:t>
      </w:r>
    </w:p>
    <w:p>
      <w:pPr>
        <w:jc w:val="center"/>
      </w:pPr>
      <w:r>
        <w:rPr>
          <w:b/>
          <w:color w:val="5A5A5A"/>
          <w:sz w:val="22"/>
        </w:rPr>
        <w:t>Wersja B2B – PWA/SaaS</w:t>
      </w:r>
    </w:p>
    <w:p>
      <w:pPr>
        <w:jc w:val="center"/>
      </w:pPr>
      <w:r>
        <w:rPr>
          <w:i/>
          <w:sz w:val="18"/>
        </w:rPr>
        <w:t>Stan opracowania: 18 września 2026 r.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tcMar>
              <w:top w:w="120" w:type="dxa"/>
              <w:start w:w="160" w:type="dxa"/>
              <w:bottom w:w="120" w:type="dxa"/>
              <w:end w:w="160" w:type="dxa"/>
            </w:tcMar>
            <w:shd w:fill="F2F2F2"/>
          </w:tcPr>
          <w:p>
            <w:r>
              <w:t>Regulamin przeznaczony do publikacji dla klientów biznesowych Salonivo (B2B). Dane Usługodawcy i kanał kontaktu zostały uzupełnione.</w:t>
            </w:r>
          </w:p>
        </w:tc>
      </w:tr>
    </w:tbl>
    <w:p/>
    <w:p>
      <w:pPr>
        <w:pStyle w:val="Heading1"/>
      </w:pPr>
      <w:r>
        <w:t>§ 1. Usługodawca i charakter usługi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Usługodawca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H&amp;S Agnieszka Adamska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Forma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jednoosobowa działalność gospodarcza, wpisana do CEIDG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Adres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ul. Bażantów 24/9, 40-668 Katowice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NIP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2220930216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E-mail kontaktowy i reklamacyjny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kontakt@salonivo.pl</w:t>
            </w:r>
          </w:p>
        </w:tc>
      </w:tr>
    </w:tbl>
    <w:p/>
    <w:p>
      <w:pPr>
        <w:pStyle w:val="ListNumber"/>
      </w:pPr>
      <w:r>
        <w:t>Niniejszy Regulamin określa zasady korzystania z usługi Salonivo, świadczonej drogą elektroniczną w modelu PWA/SaaS.</w:t>
      </w:r>
    </w:p>
    <w:p>
      <w:pPr>
        <w:pStyle w:val="ListNumber"/>
      </w:pPr>
      <w:r>
        <w:t>Salonivo jest narzędziem do prowadzenia i organizacji pracy salonu, w szczególności do rejestrowania usług i płatności, tworzenia raportów i statystyk, obsługi zespołu, rozliczeń, ustawień salonu, synchronizacji danych z chmurą oraz wykonywania kopii/eksportów, w zakresie funkcji aktualnie udostępnionych w Aplikacji.</w:t>
      </w:r>
    </w:p>
    <w:p>
      <w:pPr>
        <w:pStyle w:val="ListNumber"/>
      </w:pPr>
      <w:r>
        <w:t>Usługa jest przeznaczona wyłącznie dla podmiotów korzystających z niej w związku z działalnością gospodarczą lub zawodową. Nie jest kierowana do konsumentów.</w:t>
      </w:r>
    </w:p>
    <w:p>
      <w:pPr>
        <w:pStyle w:val="ListNumber"/>
      </w:pPr>
      <w:r>
        <w:t>Regulamin jest udostępniany nieodpłatnie przed zawarciem umowy w formie umożliwiającej jego zapisanie i odtworzenie.</w:t>
      </w:r>
    </w:p>
    <w:p>
      <w:pPr>
        <w:pStyle w:val="Heading1"/>
      </w:pPr>
      <w:r>
        <w:t>§ 2. Definicje</w:t>
      </w:r>
    </w:p>
    <w:p>
      <w:pPr>
        <w:pStyle w:val="ListBullet"/>
      </w:pPr>
      <w:r>
        <w:t>Aplikacja – aplikacja internetowa/PWA „Salonivo”, dostępna przez przeglądarkę oraz jako zainstalowana PWA na wspieranych urządzeniach.</w:t>
      </w:r>
    </w:p>
    <w:p>
      <w:pPr>
        <w:pStyle w:val="ListBullet"/>
      </w:pPr>
      <w:r>
        <w:t>Klient – przedsiębiorca lub inny profesjonalny podmiot, który zawiera z Usługodawcą umowę o korzystanie z Aplikacji.</w:t>
      </w:r>
    </w:p>
    <w:p>
      <w:pPr>
        <w:pStyle w:val="ListBullet"/>
      </w:pPr>
      <w:r>
        <w:t>Użytkownik – osoba fizyczna korzystająca z Aplikacji w imieniu Klienta, w tym właściciel salonu, pracownik lub użytkownik stanowiska wspólnego.</w:t>
      </w:r>
    </w:p>
    <w:p>
      <w:pPr>
        <w:pStyle w:val="ListBullet"/>
      </w:pPr>
      <w:r>
        <w:t>Konto – konto uwierzytelniane w Aplikacji, powiązane z salonem i określoną rolą.</w:t>
      </w:r>
    </w:p>
    <w:p>
      <w:pPr>
        <w:pStyle w:val="ListBullet"/>
      </w:pPr>
      <w:r>
        <w:t>Salon – logiczna przestrzeń danych Klienta w Aplikacji.</w:t>
      </w:r>
    </w:p>
    <w:p>
      <w:pPr>
        <w:pStyle w:val="ListBullet"/>
      </w:pPr>
      <w:r>
        <w:t>Okres próbny – bezpłatny okres testowy trwający 14 dni.</w:t>
      </w:r>
    </w:p>
    <w:p>
      <w:pPr>
        <w:pStyle w:val="ListBullet"/>
      </w:pPr>
      <w:r>
        <w:t>Subskrypcja – odpłatny dostęp do Aplikacji na wykupiony okres rozliczeniowy.</w:t>
      </w:r>
    </w:p>
    <w:p>
      <w:pPr>
        <w:pStyle w:val="ListBullet"/>
      </w:pPr>
      <w:r>
        <w:t>Dane Klienta – dane i treści wprowadzone przez Klienta lub jego Użytkowników do Aplikacji.</w:t>
      </w:r>
    </w:p>
    <w:p>
      <w:pPr>
        <w:pStyle w:val="ListBullet"/>
      </w:pPr>
      <w:r>
        <w:t>Umowa Powierzenia – umowa przetwarzania danych osobowych stanowiąca załącznik do dokumentacji usługi, stosowana w zakresie, w jakim Usługodawca przetwarza dane osobowe w imieniu Klienta.</w:t>
      </w:r>
    </w:p>
    <w:p>
      <w:pPr>
        <w:pStyle w:val="Heading1"/>
      </w:pPr>
      <w:r>
        <w:t>§ 3. Zakres usług</w:t>
      </w:r>
    </w:p>
    <w:p>
      <w:pPr>
        <w:pStyle w:val="ListNumber"/>
      </w:pPr>
      <w:r>
        <w:t>Usługodawca udostępnia Aplikację w wersji aktualnie opublikowanej i może rozwijać, zmieniać lub wycofywać poszczególne funkcje, o ile nie prowadzi to do pozbawienia Klienta zasadniczego celu usługi w aktywnym opłaconym okresie.</w:t>
      </w:r>
    </w:p>
    <w:p>
      <w:pPr>
        <w:pStyle w:val="ListNumber"/>
      </w:pPr>
      <w:r>
        <w:t>Zakres funkcji może różnić się zależnie od roli Użytkownika, planu, liczby pracowników, urządzenia oraz aktualnej wersji Aplikacji.</w:t>
      </w:r>
    </w:p>
    <w:p>
      <w:pPr>
        <w:pStyle w:val="ListNumber"/>
      </w:pPr>
      <w:r>
        <w:t>Aplikacja nie jest systemem księgowym, kasą rejestrującą, systemem kadrowo-płacowym ani archiwum wymaganym przez przepisy prawa. Dane z Aplikacji mogą wspierać rozliczenia, ale Klient odpowiada za prowadzenie wymaganych prawem ewidencji i dokumentacji w odpowiednich systemach.</w:t>
      </w:r>
    </w:p>
    <w:p>
      <w:pPr>
        <w:pStyle w:val="ListNumber"/>
      </w:pPr>
      <w:r>
        <w:t>Usługodawca może udostępniać funkcje administratora systemu służące obsłudze licencji, bezpieczeństwu, wsparciu i utrzymaniu usługi.</w:t>
      </w:r>
    </w:p>
    <w:p>
      <w:pPr>
        <w:pStyle w:val="Heading1"/>
      </w:pPr>
      <w:r>
        <w:t>§ 4. Wymagania techniczne i zagrożenia</w:t>
      </w:r>
    </w:p>
    <w:p>
      <w:pPr>
        <w:pStyle w:val="ListNumber"/>
      </w:pPr>
      <w:r>
        <w:t>Do korzystania z Aplikacji wymagane są: urządzenie z dostępem do Internetu, aktualna wspierana przeglądarka (w szczególności Chrome, Edge lub inna zgodna z nowoczesnymi standardami webowymi), obsługa JavaScript, HTTPS, pamięci przeglądarki oraz – dla instalacji PWA – obsługa Progressive Web Apps.</w:t>
      </w:r>
    </w:p>
    <w:p>
      <w:pPr>
        <w:pStyle w:val="ListNumber"/>
      </w:pPr>
      <w:r>
        <w:t>Niektóre funkcje offline lub lokalne wykorzystują localStorage, sessionStorage, IndexedDB, Cache Storage i Service Worker. Wyłączenie tych mechanizmów może ograniczyć funkcjonalność Aplikacji.</w:t>
      </w:r>
    </w:p>
    <w:p>
      <w:pPr>
        <w:pStyle w:val="ListNumber"/>
      </w:pPr>
      <w:r>
        <w:t>Korzystanie z usług internetowych wiąże się m.in. z ryzykiem utraty łączności, awarii urządzenia, działania złośliwego oprogramowania, przejęcia danych logowania, błędów oprogramowania lub nieautoryzowanego dostępu. Klient powinien chronić urządzenia, konta i hasła oraz stosować aktualne oprogramowanie.</w:t>
      </w:r>
    </w:p>
    <w:p>
      <w:pPr>
        <w:pStyle w:val="ListNumber"/>
      </w:pPr>
      <w:r>
        <w:t>Instalacja PWA jest inicjowana przez Użytkownika za pomocą funkcji przeglądarki/systemu. Aplikacja nie powinna być instalowana bez działania Użytkownika.</w:t>
      </w:r>
    </w:p>
    <w:p>
      <w:pPr>
        <w:pStyle w:val="Heading1"/>
      </w:pPr>
      <w:r>
        <w:t>§ 5. Zawarcie umowy i konto</w:t>
      </w:r>
    </w:p>
    <w:p>
      <w:pPr>
        <w:pStyle w:val="ListNumber"/>
      </w:pPr>
      <w:r>
        <w:t>Umowa zostaje zawarta z chwilą utworzenia Konta/Salonu i zaakceptowania Regulaminu albo z chwilą aktywacji odpłatnej Subskrypcji – zależnie od tego, co nastąpi wcześniej.</w:t>
      </w:r>
    </w:p>
    <w:p>
      <w:pPr>
        <w:pStyle w:val="ListNumber"/>
      </w:pPr>
      <w:r>
        <w:t>Klient podaje dane prawdziwe, aktualne i pozwalające na jego identyfikację jako przedsiębiorcy/profesjonalisty.</w:t>
      </w:r>
    </w:p>
    <w:p>
      <w:pPr>
        <w:pStyle w:val="ListNumber"/>
      </w:pPr>
      <w:r>
        <w:t>Klient odpowiada za działania swoich Użytkowników oraz za nadawanie im właściwych uprawnień.</w:t>
      </w:r>
    </w:p>
    <w:p>
      <w:pPr>
        <w:pStyle w:val="ListNumber"/>
      </w:pPr>
      <w:r>
        <w:t>Dane logowania są indywidualne, z wyjątkiem funkcji stanowiska wspólnego przewidzianej w Aplikacji. Nie wolno udostępniać danych właściciela osobom nieuprawnionym.</w:t>
      </w:r>
    </w:p>
    <w:p>
      <w:pPr>
        <w:pStyle w:val="ListNumber"/>
      </w:pPr>
      <w:r>
        <w:t>Klient powinien niezwłocznie zgłosić podejrzenie przejęcia konta lub naruszenia bezpieczeństwa.</w:t>
      </w:r>
    </w:p>
    <w:p>
      <w:pPr>
        <w:pStyle w:val="Heading1"/>
      </w:pPr>
      <w:r>
        <w:t>§ 6. Okres próbny</w:t>
      </w:r>
    </w:p>
    <w:p>
      <w:pPr>
        <w:pStyle w:val="ListNumber"/>
      </w:pPr>
      <w:r>
        <w:t>Nowy Salon może korzystać z 14-dniowego bezpłatnego Okresu próbnego, jeżeli Aplikacja nie stanowi inaczej w ramach indywidualnej oferty testowej.</w:t>
      </w:r>
    </w:p>
    <w:p>
      <w:pPr>
        <w:pStyle w:val="ListNumber"/>
      </w:pPr>
      <w:r>
        <w:t>W Okresie próbnym podstawowy limit wynosi właściciel oraz maksymalnie 1 dodatkowy pracownik (łącznie maksymalnie 2 osoby wykonujące usługi).</w:t>
      </w:r>
    </w:p>
    <w:p>
      <w:pPr>
        <w:pStyle w:val="ListNumber"/>
      </w:pPr>
      <w:r>
        <w:t>Okres próbny jest przeznaczony do oceny Aplikacji i co do zasady przysługuje jednokrotnie dla tego samego Klienta/Salonu, chyba że Usługodawca postanowi inaczej.</w:t>
      </w:r>
    </w:p>
    <w:p>
      <w:pPr>
        <w:pStyle w:val="ListNumber"/>
      </w:pPr>
      <w:r>
        <w:t>Po zakończeniu Okresu próbnego dostęp do funkcji wymagających aktywnej licencji może zostać ograniczony. Sam upływ Okresu próbnego nie powoduje automatycznego obciążenia Klienta, jeżeli Klient nie uruchomił odpłatnej Subskrypcji lub płatności cyklicznej.</w:t>
      </w:r>
    </w:p>
    <w:p>
      <w:pPr>
        <w:pStyle w:val="Heading1"/>
      </w:pPr>
      <w:r>
        <w:t>§ 7. Subskrypcja, ceny i płatności</w:t>
      </w:r>
    </w:p>
    <w:p>
      <w:pPr>
        <w:pStyle w:val="ListNumber"/>
      </w:pPr>
      <w:r>
        <w:t>Podstawowa cena abonamentu wynosi 36,00 zł za miesiąc i obejmuje 1 osobę wykonującą usługi. Każda kolejna osoba wykonująca usługi zwiększa cenę o 6,00 zł za miesiąc.</w:t>
      </w:r>
    </w:p>
    <w:p>
      <w:pPr>
        <w:pStyle w:val="ListNumber"/>
      </w:pPr>
      <w:r>
        <w:t>Salonivo jest oferowane w jednym abonamencie miesięcznym obejmującym wszystkie aktualnie udostępnione funkcje. Usługodawca może czasowo oferować rabaty lub kody/licencje aktywacyjne; ich warunki są prezentowane przed zakupem.</w:t>
      </w:r>
    </w:p>
    <w:p>
      <w:pPr>
        <w:pStyle w:val="ListNumber"/>
      </w:pPr>
      <w:r>
        <w:t>Kwoty prezentowane Klientowi są cenami końcowymi pobieranymi przez Usługodawcę; sposób wykazania podatku na dokumencie sprzedaży zależy od aktualnego statusu podatkowego Usługodawcy.</w:t>
      </w:r>
    </w:p>
    <w:p>
      <w:pPr>
        <w:pStyle w:val="ListNumber"/>
      </w:pPr>
      <w:r>
        <w:t>Płatność następuje metodą wskazaną w Aplikacji lub na dokumencie sprzedaży. Płatność cykliczna może być pobierana tylko wtedy, gdy Klient wyraźnie uruchomi taką metodę płatności.</w:t>
      </w:r>
    </w:p>
    <w:p>
      <w:pPr>
        <w:pStyle w:val="ListNumber"/>
      </w:pPr>
      <w:r>
        <w:t>Jeżeli płatność cykliczna nie jest aktywna, wygaśnięcie opłaconego okresu nie upoważnia Usługodawcy do samodzielnego obciążenia Klienta; dalszy dostęp wymaga kolejnej płatności/aktywacji.</w:t>
      </w:r>
    </w:p>
    <w:p>
      <w:pPr>
        <w:pStyle w:val="ListNumber"/>
      </w:pPr>
      <w:r>
        <w:t>Usługodawca może zmienić Cennik z co najmniej 30-dniowym wyprzedzeniem. Nowa cena ma zastosowanie najwcześniej od kolejnego okresu rozliczeniowego po wejściu zmiany w życie.</w:t>
      </w:r>
    </w:p>
    <w:p>
      <w:pPr>
        <w:pStyle w:val="ListNumber"/>
      </w:pPr>
      <w:r>
        <w:t>Dokumenty sprzedaży mogą być wystawiane i dostarczane elektronicznie.</w:t>
      </w:r>
    </w:p>
    <w:p>
      <w:pPr>
        <w:pStyle w:val="Heading1"/>
      </w:pPr>
      <w:r>
        <w:t>§ 8. Licencja i prawa własności intelektualnej</w:t>
      </w:r>
    </w:p>
    <w:p>
      <w:pPr>
        <w:pStyle w:val="ListNumber"/>
      </w:pPr>
      <w:r>
        <w:t>Usługodawca udziela Klientowi na czas aktywnej umowy niewyłącznego, niezbywalnego i ograniczonego prawa do korzystania z Aplikacji w zakresie własnej działalności Klienta.</w:t>
      </w:r>
    </w:p>
    <w:p>
      <w:pPr>
        <w:pStyle w:val="ListNumber"/>
      </w:pPr>
      <w:r>
        <w:t>Licencja nie przenosi praw autorskich do Aplikacji, kodu, projektu, oznaczeń, baz, dokumentacji ani rozwiązań funkcjonalnych.</w:t>
      </w:r>
    </w:p>
    <w:p>
      <w:pPr>
        <w:pStyle w:val="ListNumber"/>
      </w:pPr>
      <w:r>
        <w:t>Bez pisemnej zgody Usługodawcy zabronione jest w szczególności: odsprzedawanie dostępu, obchodzenie limitów, udostępnianie usługi podmiotom trzecim poza organizacją Klienta, ingerowanie w kod, dekompilowanie lub wykorzystywanie Aplikacji do budowy konkurencyjnej kopii w zakresie zabronionym przez prawo.</w:t>
      </w:r>
    </w:p>
    <w:p>
      <w:pPr>
        <w:pStyle w:val="Heading1"/>
      </w:pPr>
      <w:r>
        <w:t>§ 9. Obowiązki Klienta i treści niedozwolone</w:t>
      </w:r>
    </w:p>
    <w:p>
      <w:pPr>
        <w:pStyle w:val="ListNumber"/>
      </w:pPr>
      <w:r>
        <w:t>Klient korzysta z Aplikacji zgodnie z prawem, Regulaminem i przeznaczeniem usługi.</w:t>
      </w:r>
    </w:p>
    <w:p>
      <w:pPr>
        <w:pStyle w:val="ListNumber"/>
      </w:pPr>
      <w:r>
        <w:t>Zabronione jest wprowadzanie treści bezprawnych, naruszających prawa osób trzecich, złośliwego kodu, danych pozyskanych bez podstawy prawnej oraz treści służących obejściu zabezpieczeń.</w:t>
      </w:r>
    </w:p>
    <w:p>
      <w:pPr>
        <w:pStyle w:val="ListNumber"/>
      </w:pPr>
      <w:r>
        <w:t>Aplikacja nie jest obecnie przeznaczona do przechowywania szczególnych kategorii danych osobowych (np. danych o zdrowiu) ani numerów kart płatniczych. Klient nie powinien umieszczać takich danych w polach tekstowych/uwagach, chyba że Usługodawca wprowadzi do tego dedykowaną funkcję i odpowiednie zabezpieczenia.</w:t>
      </w:r>
    </w:p>
    <w:p>
      <w:pPr>
        <w:pStyle w:val="ListNumber"/>
      </w:pPr>
      <w:r>
        <w:t>Jeżeli Klient wprowadza dane osobowe pracowników, współpracowników lub klientów, odpowiada jako administrator za podstawę prawną, obowiązki informacyjne i zgodność zakresu danych z zasadą minimalizacji.</w:t>
      </w:r>
    </w:p>
    <w:p>
      <w:pPr>
        <w:pStyle w:val="Heading1"/>
      </w:pPr>
      <w:r>
        <w:t>§ 10. Dane, synchronizacja i kopie</w:t>
      </w:r>
    </w:p>
    <w:p>
      <w:pPr>
        <w:pStyle w:val="ListNumber"/>
      </w:pPr>
      <w:r>
        <w:t>Aplikacja synchronizuje dane z usługą chmurową oraz może przechowywać lokalny cache i kopie na urządzeniu w celu działania, wydajności, odzyskiwania danych i pracy pomiędzy sesjami.</w:t>
      </w:r>
    </w:p>
    <w:p>
      <w:pPr>
        <w:pStyle w:val="ListNumber"/>
      </w:pPr>
      <w:r>
        <w:t>Klient powinien korzystać z dostępnych funkcji eksportu/backupów i przechowywać niezależne kopie danych, które są dla niego biznesowo krytyczne.</w:t>
      </w:r>
    </w:p>
    <w:p>
      <w:pPr>
        <w:pStyle w:val="ListNumber"/>
      </w:pPr>
      <w:r>
        <w:t>Usługodawca dokłada rozsądnych starań w celu ochrony i spójności danych, jednak nie gwarantuje, że żadna awaria, błąd Użytkownika, awaria dostawcy zewnętrznego lub urządzenia nie spowoduje utraty danych.</w:t>
      </w:r>
    </w:p>
    <w:p>
      <w:pPr>
        <w:pStyle w:val="ListNumber"/>
      </w:pPr>
      <w:r>
        <w:t>Funkcja „Wyloguj i usuń dane z urządzenia” usuwa dane lokalne danego urządzenia w zakresie wskazanym w Aplikacji i nie powinna usuwać danych salonu przechowywanych w chmurze, o ile synchronizacja została zakończona poprawnie.</w:t>
      </w:r>
    </w:p>
    <w:p>
      <w:pPr>
        <w:pStyle w:val="Heading1"/>
      </w:pPr>
      <w:r>
        <w:t>§ 11. Aktualizacje, przerwy i dostępność</w:t>
      </w:r>
    </w:p>
    <w:p>
      <w:pPr>
        <w:pStyle w:val="ListNumber"/>
      </w:pPr>
      <w:r>
        <w:t>Aplikacja jest rozwijana w modelu ciągłym. Aktualizacje PWA mogą być pobierane automatycznie przy uruchomieniu lub w trakcie korzystania z usługi.</w:t>
      </w:r>
    </w:p>
    <w:p>
      <w:pPr>
        <w:pStyle w:val="ListNumber"/>
      </w:pPr>
      <w:r>
        <w:t>Usługodawca może prowadzić prace serwisowe, aktualizacje bezpieczeństwa i migracje. W miarę możliwości planowane przerwy o istotnym wpływie będą komunikowane z wyprzedzeniem.</w:t>
      </w:r>
    </w:p>
    <w:p>
      <w:pPr>
        <w:pStyle w:val="ListNumber"/>
      </w:pPr>
      <w:r>
        <w:t>Usługodawca nie gwarantuje nieprzerwanej dostępności 24/7 ani konkretnego poziomu SLA, chyba że z danym Klientem zawarto odrębne porozumienie.</w:t>
      </w:r>
    </w:p>
    <w:p>
      <w:pPr>
        <w:pStyle w:val="Heading1"/>
      </w:pPr>
      <w:r>
        <w:t>§ 12. Reklamacje i wsparcie</w:t>
      </w:r>
    </w:p>
    <w:p>
      <w:pPr>
        <w:pStyle w:val="ListNumber"/>
      </w:pPr>
      <w:r>
        <w:t>Reklamacje dotyczące działania usługi należy kierować na adres kontakt@salonivo.pl.</w:t>
      </w:r>
    </w:p>
    <w:p>
      <w:pPr>
        <w:pStyle w:val="ListNumber"/>
      </w:pPr>
      <w:r>
        <w:t>Reklamacja powinna zawierać dane Klienta, opis problemu, datę/okoliczności wystąpienia i – jeżeli to możliwe – numer wersji Aplikacji oraz materiał pozwalający odtworzyć błąd bez ujawniania zbędnych danych osobowych.</w:t>
      </w:r>
    </w:p>
    <w:p>
      <w:pPr>
        <w:pStyle w:val="ListNumber"/>
      </w:pPr>
      <w:r>
        <w:t>Usługodawca rozpatruje reklamację bez zbędnej zwłoki, co do zasady w terminie do 14 dni roboczych. Jeżeli sprawa wymaga danych od dostawcy infrastruktury lub dodatkowej diagnostyki, termin może zostać przedłużony, o czym Klient zostanie poinformowany.</w:t>
      </w:r>
    </w:p>
    <w:p>
      <w:pPr>
        <w:pStyle w:val="Heading1"/>
      </w:pPr>
      <w:r>
        <w:t>§ 13. Zawieszenie i rozwiązanie umowy</w:t>
      </w:r>
    </w:p>
    <w:p>
      <w:pPr>
        <w:pStyle w:val="ListNumber"/>
      </w:pPr>
      <w:r>
        <w:t>Klient może zrezygnować z dalszego korzystania w każdym czasie. Rezygnacja nie powoduje zwrotu opłaty za rozpoczęty opłacony okres, chyba że Usługodawca postanowi inaczej lub bezwzględnie obowiązujące przepisy stanowią inaczej.</w:t>
      </w:r>
    </w:p>
    <w:p>
      <w:pPr>
        <w:pStyle w:val="ListNumber"/>
      </w:pPr>
      <w:r>
        <w:t>Usługodawca może zawiesić dostęp w przypadku braku płatności, naruszenia Regulaminu, zagrożenia bezpieczeństwa, nadużycia, próby obejścia limitów albo gdy wymaga tego prawo.</w:t>
      </w:r>
    </w:p>
    <w:p>
      <w:pPr>
        <w:pStyle w:val="ListNumber"/>
      </w:pPr>
      <w:r>
        <w:t>Przy naruszeniu możliwym do usunięcia Usługodawca, o ile nie ma pilnego zagrożenia, powinien umożliwić Klientowi usunięcie naruszenia w rozsądnym terminie.</w:t>
      </w:r>
    </w:p>
    <w:p>
      <w:pPr>
        <w:pStyle w:val="ListNumber"/>
      </w:pPr>
      <w:r>
        <w:t>Po zakończeniu umowy Klient powinien pobrać potrzebne dane. Dane przetwarzane w imieniu Klienta są zwracane/usuwane zgodnie z Umową Powierzenia; operacyjny okres na usunięcie z aktywnych systemów wynosi co do zasady do 30 dni, z zastrzeżeniem kopii bezpieczeństwa i obowiązków prawnych.</w:t>
      </w:r>
    </w:p>
    <w:p>
      <w:pPr>
        <w:pStyle w:val="Heading1"/>
      </w:pPr>
      <w:r>
        <w:t>§ 14. Odpowiedzialność</w:t>
      </w:r>
    </w:p>
    <w:p>
      <w:pPr>
        <w:pStyle w:val="ListNumber"/>
      </w:pPr>
      <w:r>
        <w:t>Strony odpowiadają na zasadach prawa polskiego z modyfikacjami dopuszczalnymi w relacjach B2B określonymi poniżej.</w:t>
      </w:r>
    </w:p>
    <w:p>
      <w:pPr>
        <w:pStyle w:val="ListNumber"/>
      </w:pPr>
      <w:r>
        <w:t>Usługodawca nie odpowiada za szkody wynikające z: nieprawidłowego korzystania przez Klienta, utraty dostępu do urządzenia/konta, działania systemów lub łączy Klienta, danych wprowadzonych przez Klienta, zmian wykonanych przez nieuprawnioną osobę po stronie Klienta albo korzystania z Aplikacji niezgodnie z jej przeznaczeniem.</w:t>
      </w:r>
    </w:p>
    <w:p>
      <w:pPr>
        <w:pStyle w:val="ListNumber"/>
      </w:pPr>
      <w:r>
        <w:t>W zakresie dopuszczalnym przez prawo Usługodawca nie odpowiada za utracone korzyści, utracone kontrakty ani szkody pośrednie.</w:t>
      </w:r>
    </w:p>
    <w:p>
      <w:pPr>
        <w:pStyle w:val="ListNumber"/>
      </w:pPr>
      <w:r>
        <w:t>Łączna odpowiedzialność odszkodowawcza Usługodawcy z tytułu jednego zdarzenia lub serii powiązanych zdarzeń jest ograniczona do kwoty opłat zapłaconych przez Klienta za 6 miesięcy poprzedzających zdarzenie, nie mniej jednak niż 500 zł. Ograniczenie nie dotyczy szkody wyrządzonej umyślnie ani odpowiedzialności, której nie można wyłączyć lub ograniczyć na mocy prawa.</w:t>
      </w:r>
    </w:p>
    <w:p>
      <w:pPr>
        <w:pStyle w:val="ListNumber"/>
      </w:pPr>
      <w:r>
        <w:t>Klient odpowiada za zgodność swoich procesów biznesowych, podatkowych, kadrowych, RODO i ewidencyjnych z prawem.</w:t>
      </w:r>
    </w:p>
    <w:p>
      <w:pPr>
        <w:pStyle w:val="Heading1"/>
      </w:pPr>
      <w:r>
        <w:t>§ 15. Dane osobowe</w:t>
      </w:r>
    </w:p>
    <w:p>
      <w:pPr>
        <w:pStyle w:val="ListNumber"/>
      </w:pPr>
      <w:r>
        <w:t>W zakresie danych Konta, rozliczeń, wsparcia i bezpieczeństwa Usługodawca może działać jako administrator danych zgodnie z Polityką Prywatności.</w:t>
      </w:r>
    </w:p>
    <w:p>
      <w:pPr>
        <w:pStyle w:val="ListNumber"/>
      </w:pPr>
      <w:r>
        <w:t>W zakresie danych osobowych wprowadzanych przez Klienta do przestrzeni Salonu i przetwarzanych przez Usługodawcę wyłącznie w celu świadczenia usługi, Klient jest administratorem, a Usługodawca podmiotem przetwarzającym. Zastosowanie ma Umowa Powierzenia zgodna z art. 28 RODO.</w:t>
      </w:r>
    </w:p>
    <w:p>
      <w:pPr>
        <w:pStyle w:val="ListNumber"/>
      </w:pPr>
      <w:r>
        <w:t>Akceptacja Umowy Powierzenia może nastąpić elektronicznie podczas rejestracji lub aktywacji usługi.</w:t>
      </w:r>
    </w:p>
    <w:p>
      <w:pPr>
        <w:pStyle w:val="Heading1"/>
      </w:pPr>
      <w:r>
        <w:t>§ 16. Zmiany Regulaminu</w:t>
      </w:r>
    </w:p>
    <w:p>
      <w:pPr>
        <w:pStyle w:val="ListNumber"/>
      </w:pPr>
      <w:r>
        <w:t>Usługodawca może zmienić Regulamin z ważnych przyczyn, w szczególności zmian prawa, bezpieczeństwa, funkcjonalności, modelu płatności, infrastruktury lub danych usługodawcy.</w:t>
      </w:r>
    </w:p>
    <w:p>
      <w:pPr>
        <w:pStyle w:val="ListNumber"/>
      </w:pPr>
      <w:r>
        <w:t>O istotnej zmianie dotyczącej aktywnej płatnej usługi Klient zostanie poinformowany z co najmniej 14-dniowym wyprzedzeniem, chyba że natychmiastowa zmiana jest konieczna ze względu na prawo lub bezpieczeństwo.</w:t>
      </w:r>
    </w:p>
    <w:p>
      <w:pPr>
        <w:pStyle w:val="ListNumber"/>
      </w:pPr>
      <w:r>
        <w:t>Jeżeli Klient nie akceptuje istotnej zmiany, może zakończyć korzystanie najpóźniej z końcem bieżącego opłaconego okresu. Dalsze korzystanie po wejściu zmiany w życie oznacza akceptację, o ile prawo dopuszcza taki mechanizm.</w:t>
      </w:r>
    </w:p>
    <w:p>
      <w:pPr>
        <w:pStyle w:val="Heading1"/>
      </w:pPr>
      <w:r>
        <w:t>§ 17. Postanowienia końcowe</w:t>
      </w:r>
    </w:p>
    <w:p>
      <w:pPr>
        <w:pStyle w:val="ListNumber"/>
      </w:pPr>
      <w:r>
        <w:t>Do umowy stosuje się prawo polskie.</w:t>
      </w:r>
    </w:p>
    <w:p>
      <w:pPr>
        <w:pStyle w:val="ListNumber"/>
      </w:pPr>
      <w:r>
        <w:t>Spory z Klientem będącym przedsiębiorcą podlegają sądowi właściwemu dla siedziby/miejsca prowadzenia działalności Usługodawcy, o ile bezwzględnie obowiązujące przepisy nie stanowią inaczej.</w:t>
      </w:r>
    </w:p>
    <w:p>
      <w:pPr>
        <w:pStyle w:val="ListNumber"/>
      </w:pPr>
      <w:r>
        <w:t>Jeżeli którekolwiek postanowienie okaże się nieważne, pozostałe postanowienia zachowują moc.</w:t>
      </w:r>
    </w:p>
    <w:p>
      <w:pPr>
        <w:pStyle w:val="ListNumber"/>
      </w:pPr>
      <w:r>
        <w:t>Regulamin obowiązuje od 18 września 2026 r. Wersja dokumentu: 1.1 (18 września 2026 r.).</w:t>
      </w:r>
    </w:p>
    <w:p>
      <w:pPr>
        <w:pStyle w:val="Heading1"/>
      </w:pPr>
      <w:r>
        <w:t>Załącznik – Cennik bazowy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rPr>
                <w:b/>
              </w:rPr>
              <w:t>14 dni próbne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0 zł; właściciel + maks. 1 pracownik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Abonament miesięczny Salonivo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36 zł / miesiąc; obejmuje 1 osobę wykonującą usługi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Każda kolejna osoba wykonująca usługi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+6 zł / miesiąc</w:t>
            </w:r>
          </w:p>
        </w:tc>
      </w:tr>
      <w:tr>
        <w:trPr>
          <w:cantSplit/>
        </w:trPr>
        <w:tc>
          <w:tcPr>
            <w:tcW w:type="dxa" w:w="4873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Jeden abonament miesięczny</w:t>
            </w:r>
          </w:p>
        </w:tc>
        <w:tc>
          <w:tcPr>
            <w:tcW w:type="dxa" w:w="487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/>
            <w:r>
              <w:t>wszystkie aktualnie udostępnione funkcje; brak odrębnych pakietów Premium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footerReference w:type="first" r:id="rId11"/>
      <w:footerReference w:type="even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87878"/>
        <w:sz w:val="16"/>
      </w:rPr>
      <w:t>Wersja dokumentu 1.1 • 18 września 2026 r.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color w:val="6E6E6E"/>
        <w:sz w:val="16"/>
      </w:rPr>
      <w:t>Salonivo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C1C1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C1C1C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