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UMOWA POWIERZENIA PRZETWARZANIA DANYCH OSOBOWYCH</w:t>
      </w:r>
    </w:p>
    <w:p>
      <w:pPr>
        <w:jc w:val="center"/>
      </w:pPr>
      <w:r>
        <w:rPr>
          <w:b/>
          <w:color w:val="5A5A5A"/>
          <w:sz w:val="22"/>
        </w:rPr>
        <w:t>Załącznik do warunków korzystania z „Salonivo” – art. 28 RODO</w:t>
      </w:r>
    </w:p>
    <w:p>
      <w:pPr>
        <w:jc w:val="center"/>
      </w:pPr>
      <w:r>
        <w:rPr>
          <w:i/>
          <w:sz w:val="18"/>
        </w:rPr>
        <w:t>Stan opracowania: 18 września 2026 r.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tcMar>
              <w:top w:w="120" w:type="dxa"/>
              <w:start w:w="160" w:type="dxa"/>
              <w:bottom w:w="120" w:type="dxa"/>
              <w:end w:w="160" w:type="dxa"/>
            </w:tcMar>
            <w:shd w:fill="F2F2F2"/>
          </w:tcPr>
          <w:p>
            <w:r>
              <w:rPr>
                <w:b w:val="0"/>
                <w:sz w:val="19"/>
              </w:rPr>
              <w:t>Umowa może być zawierana elektronicznie podczas rejestracji/aktywacji. Klient jest Administratorem danych wprowadzanych do Salonu, a Usługodawca – Procesorem w zakresie niezbędnym do świadczenia usługi.</w:t>
            </w:r>
          </w:p>
        </w:tc>
      </w:tr>
    </w:tbl>
    <w:p/>
    <w:p>
      <w:pPr>
        <w:pStyle w:val="Heading1"/>
      </w:pPr>
      <w:r>
        <w:t>§ 1. Strony i przedmiot</w:t>
      </w:r>
    </w:p>
    <w:p>
      <w:pPr>
        <w:pStyle w:val="ListNumber"/>
      </w:pPr>
      <w:r>
        <w:t>Administratorem jest Klient korzystający z Salonivo, którego dane identyfikacyjne zostały podane przy rejestracji lub zakupie Subskrypcji („Administrator”).</w:t>
      </w:r>
    </w:p>
    <w:p>
      <w:pPr>
        <w:pStyle w:val="ListNumber"/>
      </w:pPr>
      <w:r>
        <w:t>Podmiotem przetwarzającym jest H&amp;S Agnieszka Adamska, ul. Bażantów 24/9, 40-668 Katowice, NIP 2220930216 („Procesor”).</w:t>
      </w:r>
    </w:p>
    <w:p>
      <w:pPr>
        <w:pStyle w:val="ListNumber"/>
      </w:pPr>
      <w:r>
        <w:t>Administrator powierza Procesorowi przetwarzanie danych osobowych w zakresie niezbędnym do świadczenia, zabezpieczenia, synchronizacji, utrzymania i wsparcia Aplikacji.</w:t>
      </w:r>
    </w:p>
    <w:p>
      <w:pPr>
        <w:pStyle w:val="ListNumber"/>
      </w:pPr>
      <w:r>
        <w:t>Powierzenie trwa przez okres obowiązywania umowy o usługę oraz przez techniczny okres zwrotu/usuwania danych po jej zakończeniu.</w:t>
      </w:r>
    </w:p>
    <w:p>
      <w:pPr>
        <w:pStyle w:val="Heading1"/>
      </w:pPr>
      <w:r>
        <w:t>§ 2. Charakter, cel i zakres danych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Charakter operacji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zbieranie (w sensie technicznym), utrwalanie, organizowanie, przechowywanie, odczyt, przesyłanie, synchronizacja, modyfikacja na instrukcję Użytkownika, wykonywanie kopii, usuwanie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Cel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zapewnienie funkcji Aplikacji „Salonivo”, synchronizacji, raportowania, obsługi zespołu, rozliczeń i wsparcia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Kategorie osób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pracownicy, współpracownicy, właściciel salonu; potencjalnie klienci salonu tylko wtedy, gdy Administrator sam wprowadzi ich dane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Kategorie danych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imię/nazwa wyświetlana, identyfikatory użytkownika, dane operacyjne o pracy i usługach, dane płatności na poziomie metody/kwoty, rozliczenia pracownicze, notatki wpisane przez Administratora, dane techniczne i audytowe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Dane szczególnej kategorii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nie są przewidziane jako standardowy zakres; Administrator nie powinien ich wprowadzać bez odrębnego uzgodnienia i oceny zabezpieczeń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Częstotliwość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ciągła/okresowa w czasie korzystania z usługi</w:t>
            </w:r>
          </w:p>
        </w:tc>
      </w:tr>
    </w:tbl>
    <w:p/>
    <w:p>
      <w:pPr>
        <w:pStyle w:val="Heading1"/>
      </w:pPr>
      <w:r>
        <w:t>§ 3. Instrukcje Administratora</w:t>
      </w:r>
    </w:p>
    <w:p>
      <w:pPr>
        <w:pStyle w:val="ListNumber"/>
      </w:pPr>
      <w:r>
        <w:t>Procesor przetwarza dane wyłącznie na udokumentowane polecenie Administratora, chyba że obowiązek przetwarzania wynika z prawa Unii lub prawa polskiego.</w:t>
      </w:r>
    </w:p>
    <w:p>
      <w:pPr>
        <w:pStyle w:val="ListNumber"/>
      </w:pPr>
      <w:r>
        <w:t>Za udokumentowane polecenia uważa się w szczególności: działania Administratora i jego uprawnionych Użytkowników w Aplikacji, ustawienia funkcji, zgłoszenia wsparcia oraz niniejszą Umowę.</w:t>
      </w:r>
    </w:p>
    <w:p>
      <w:pPr>
        <w:pStyle w:val="ListNumber"/>
      </w:pPr>
      <w:r>
        <w:t>Jeżeli Procesor uzna, że instrukcja narusza RODO lub inne przepisy ochrony danych, informuje Administratora bez zbędnej zwłoki i może wstrzymać wykonanie takiej instrukcji do czasu jej wyjaśnienia.</w:t>
      </w:r>
    </w:p>
    <w:p>
      <w:pPr>
        <w:pStyle w:val="Heading1"/>
      </w:pPr>
      <w:r>
        <w:t>§ 4. Poufność i osoby upoważnione</w:t>
      </w:r>
    </w:p>
    <w:p>
      <w:pPr>
        <w:pStyle w:val="ListNumber"/>
      </w:pPr>
      <w:r>
        <w:t>Procesor zapewnia, że osoby dopuszczone do danych są zobowiązane do zachowania poufności lub podlegają odpowiedniemu ustawowemu obowiązkowi poufności.</w:t>
      </w:r>
    </w:p>
    <w:p>
      <w:pPr>
        <w:pStyle w:val="ListNumber"/>
      </w:pPr>
      <w:r>
        <w:t>Dostęp administracyjny do danych powinien być ograniczony do osób, dla których jest niezbędny do utrzymania, bezpieczeństwa, wsparcia lub wykonania obowiązku prawnego.</w:t>
      </w:r>
    </w:p>
    <w:p>
      <w:pPr>
        <w:pStyle w:val="Heading1"/>
      </w:pPr>
      <w:r>
        <w:t>§ 5. Bezpieczeństwo przetwarzania</w:t>
      </w:r>
    </w:p>
    <w:p>
      <w:pPr>
        <w:pStyle w:val="ListNumber"/>
      </w:pPr>
      <w:r>
        <w:t>Procesor stosuje środki techniczne i organizacyjne odpowiednie do ryzyka, z uwzględnieniem stanu wiedzy technicznej, kosztów, charakteru i zakresu przetwarzania.</w:t>
      </w:r>
    </w:p>
    <w:p>
      <w:pPr>
        <w:pStyle w:val="ListNumber"/>
      </w:pPr>
      <w:r>
        <w:t>Minimalny zestaw środków opisano w Załączniku A. Procesor może zastępować środki równoważnymi lub skuteczniejszymi, o ile nie obniża ogólnego poziomu ochrony.</w:t>
      </w:r>
    </w:p>
    <w:p>
      <w:pPr>
        <w:pStyle w:val="Heading1"/>
      </w:pPr>
      <w:r>
        <w:t>§ 6. Podprocesorzy</w:t>
      </w:r>
    </w:p>
    <w:p>
      <w:pPr>
        <w:pStyle w:val="ListNumber"/>
      </w:pPr>
      <w:r>
        <w:t>Administrator udziela Procesorowi ogólnej zgody na korzystanie z dalszych podmiotów przetwarzających niezbędnych do świadczenia usługi.</w:t>
      </w:r>
    </w:p>
    <w:p>
      <w:pPr>
        <w:pStyle w:val="ListNumber"/>
      </w:pPr>
      <w:r>
        <w:t>Aktualna lista głównych podprocesorów znajduje się w Załączniku B lub w aktualizowanej liście udostępnionej w dokumentacji usługi.</w:t>
      </w:r>
    </w:p>
    <w:p>
      <w:pPr>
        <w:pStyle w:val="ListNumber"/>
      </w:pPr>
      <w:r>
        <w:t>Procesor zobowiązuje dalszego procesora do obowiązków ochrony danych co najmniej równoważnych obowiązkom wynikającym z niniejszej Umowy w zakresie wymaganym przez art. 28 RODO.</w:t>
      </w:r>
    </w:p>
    <w:p>
      <w:pPr>
        <w:pStyle w:val="ListNumber"/>
      </w:pPr>
      <w:r>
        <w:t>Procesor poinformuje Administratora o planowanej istotnej zmianie podprocesora z odpowiednim wyprzedzeniem, co do zasady co najmniej 14 dni. Administrator może zgłosić uzasadniony sprzeciw związany z ochroną danych; strony podejmą rozsądne działania w celu rozwiązania problemu.</w:t>
      </w:r>
    </w:p>
    <w:p>
      <w:pPr>
        <w:pStyle w:val="Heading1"/>
      </w:pPr>
      <w:r>
        <w:t>§ 7. Prawa osób i obowiązki Administratora</w:t>
      </w:r>
    </w:p>
    <w:p>
      <w:pPr>
        <w:pStyle w:val="ListNumber"/>
      </w:pPr>
      <w:r>
        <w:t>Administrator odpowiada za legalność powierzonych danych, podstawy prawne, obowiązki informacyjne, minimalizację, prawidłowość i okres przechowywania danych w swojej działalności.</w:t>
      </w:r>
    </w:p>
    <w:p>
      <w:pPr>
        <w:pStyle w:val="ListNumber"/>
      </w:pPr>
      <w:r>
        <w:t>Procesor, biorąc pod uwagę charakter przetwarzania, pomaga Administratorowi w miarę możliwości technicznych w realizacji żądań osób dotyczących praw z RODO.</w:t>
      </w:r>
    </w:p>
    <w:p>
      <w:pPr>
        <w:pStyle w:val="ListNumber"/>
      </w:pPr>
      <w:r>
        <w:t>Jeżeli Procesor otrzyma żądanie odnoszące się do danych, których Administratorem jest Klient, nie będzie samodzielnie rozstrzygał żądania poza przypadkami wymaganymi prawem; przekaże je Administratorowi lub poinformuje osobę o właściwym administratorze.</w:t>
      </w:r>
    </w:p>
    <w:p>
      <w:pPr>
        <w:pStyle w:val="Heading1"/>
      </w:pPr>
      <w:r>
        <w:t>§ 8. Incydenty, DPIA i konsultacje</w:t>
      </w:r>
    </w:p>
    <w:p>
      <w:pPr>
        <w:pStyle w:val="ListNumber"/>
      </w:pPr>
      <w:r>
        <w:t>Procesor poinformuje Administratora bez zbędnej zwłoki po stwierdzeniu naruszenia ochrony danych powierzonych, przekazując dostępne informacje niezbędne Administratorowi do oceny obowiązków z art. 33 i 34 RODO.</w:t>
      </w:r>
    </w:p>
    <w:p>
      <w:pPr>
        <w:pStyle w:val="ListNumber"/>
      </w:pPr>
      <w:r>
        <w:t>W miarę możliwości Procesor przekaże wstępne informacje w ciągu 48 godzin od potwierdzenia, że incydent dotyczy danych danego Administratora, przy czym brak pełnych informacji nie opóźnia pierwszego zawiadomienia.</w:t>
      </w:r>
    </w:p>
    <w:p>
      <w:pPr>
        <w:pStyle w:val="ListNumber"/>
      </w:pPr>
      <w:r>
        <w:t>Procesor udziela rozsądnej pomocy w ocenie skutków dla ochrony danych i konsultacjach z organem nadzorczym, jeżeli jest to związane z usługą Procesora i proporcjonalne do charakteru przetwarzania.</w:t>
      </w:r>
    </w:p>
    <w:p>
      <w:pPr>
        <w:pStyle w:val="Heading1"/>
      </w:pPr>
      <w:r>
        <w:t>§ 9. Transfery międzynarodowe</w:t>
      </w:r>
    </w:p>
    <w:p>
      <w:pPr>
        <w:pStyle w:val="ListNumber"/>
      </w:pPr>
      <w:r>
        <w:t>Procesor zapewnia, że przekazanie danych poza EOG odbywa się wyłącznie przy zastosowaniu podstawy dopuszczonej przez RODO.</w:t>
      </w:r>
    </w:p>
    <w:p>
      <w:pPr>
        <w:pStyle w:val="ListNumber"/>
      </w:pPr>
      <w:r>
        <w:t>W przypadku podprocesorów spoza EOG mogą być stosowane w szczególności standardowe klauzule umowne Komisji Europejskiej lub decyzja stwierdzająca odpowiedni stopień ochrony, jeśli ma zastosowanie.</w:t>
      </w:r>
    </w:p>
    <w:p>
      <w:pPr>
        <w:pStyle w:val="ListNumber"/>
      </w:pPr>
      <w:r>
        <w:t>Wybór europejskiego regionu hostingu ogranicza lokalizację podstawowych danych projektu, ale nie wyklucza wszystkich transgranicznych procesów pomocniczych dostawców.</w:t>
      </w:r>
    </w:p>
    <w:p>
      <w:pPr>
        <w:pStyle w:val="Heading1"/>
      </w:pPr>
      <w:r>
        <w:t>§ 10. Zwrot i usuwanie danych</w:t>
      </w:r>
    </w:p>
    <w:p>
      <w:pPr>
        <w:pStyle w:val="ListNumber"/>
      </w:pPr>
      <w:r>
        <w:t>Po zakończeniu usługi, na wybór Administratora i w zakresie technicznie dostępnym, Procesor umożliwia pobranie/eksport danych albo usuwa dane z aktywnych systemów.</w:t>
      </w:r>
    </w:p>
    <w:p>
      <w:pPr>
        <w:pStyle w:val="ListNumber"/>
      </w:pPr>
      <w:r>
        <w:t>Jeżeli Administrator nie wyda odmiennej zgodnej z prawem instrukcji, dane Klienta powinny zostać usunięte z aktywnych systemów co do zasady w terminie do 30 dni po zakończeniu umowy. Kopie bezpieczeństwa mogą być usuwane zgodnie z cyklem rotacji, pod warunkiem braku dalszego aktywnego użycia.</w:t>
      </w:r>
    </w:p>
    <w:p>
      <w:pPr>
        <w:pStyle w:val="ListNumber"/>
      </w:pPr>
      <w:r>
        <w:t>Procesor może zachować dane, których dalsze przechowywanie jest wymagane prawem, wyłącznie przez wymagany okres i w wymaganym zakresie.</w:t>
      </w:r>
    </w:p>
    <w:p>
      <w:pPr>
        <w:pStyle w:val="Heading1"/>
      </w:pPr>
      <w:r>
        <w:t>§ 11. Audyt i informacje o zgodności</w:t>
      </w:r>
    </w:p>
    <w:p>
      <w:pPr>
        <w:pStyle w:val="ListNumber"/>
      </w:pPr>
      <w:r>
        <w:t>Procesor udostępnia Administratorowi informacje niezbędne do wykazania spełnienia obowiązków z art. 28 RODO, w rozsądnym zakresie i z uwzględnieniem tajemnicy przedsiębiorstwa oraz bezpieczeństwa innych klientów.</w:t>
      </w:r>
    </w:p>
    <w:p>
      <w:pPr>
        <w:pStyle w:val="ListNumber"/>
      </w:pPr>
      <w:r>
        <w:t>Audyt na miejscu jest możliwy po wcześniejszym uzgodnieniu, gdy dokumentacja i audyt zdalny są niewystarczające albo gdy wymaga tego organ lub istotny incydent. Co do zasady nie częściej niż raz w roku, chyba że istnieje uzasadniona przyczyna.</w:t>
      </w:r>
    </w:p>
    <w:p>
      <w:pPr>
        <w:pStyle w:val="ListNumber"/>
      </w:pPr>
      <w:r>
        <w:t>Administrator ponosi rozsądne koszty dodatkowego audytu wykraczającego poza standardową dokumentację, jeżeli audyt nie wykaże istotnego naruszenia po stronie Procesora.</w:t>
      </w:r>
    </w:p>
    <w:p>
      <w:pPr>
        <w:pStyle w:val="Heading1"/>
      </w:pPr>
      <w:r>
        <w:t>§ 12. Pierwszeństwo i forma</w:t>
      </w:r>
    </w:p>
    <w:p>
      <w:pPr>
        <w:pStyle w:val="ListNumber"/>
      </w:pPr>
      <w:r>
        <w:t>W razie sprzeczności z Regulaminem, w sprawach ochrony danych powierzonych pierwszeństwo ma niniejsza Umowa.</w:t>
      </w:r>
    </w:p>
    <w:p>
      <w:pPr>
        <w:pStyle w:val="ListNumber"/>
      </w:pPr>
      <w:r>
        <w:t>Umowa może być zaakceptowana elektronicznie i stanowi część umowy o korzystanie z Aplikacji.</w:t>
      </w:r>
    </w:p>
    <w:p>
      <w:pPr>
        <w:pStyle w:val="ListNumber"/>
      </w:pPr>
      <w:r>
        <w:t>Zmiana Umowy związana z wymogami prawa lub zmianą podprocesorów będzie komunikowana zgodnie z Regulaminem i zasadami art. 28 RODO.</w:t>
      </w:r>
    </w:p>
    <w:p>
      <w:pPr>
        <w:pStyle w:val="Heading1"/>
      </w:pPr>
      <w:r>
        <w:t>Załącznik A – Minimalne środki techniczne i organizacyjne</w:t>
      </w:r>
    </w:p>
    <w:p>
      <w:pPr>
        <w:pStyle w:val="ListBullet"/>
      </w:pPr>
      <w:r>
        <w:t>szyfrowanie transmisji HTTPS/TLS</w:t>
      </w:r>
    </w:p>
    <w:p>
      <w:pPr>
        <w:pStyle w:val="ListBullet"/>
      </w:pPr>
      <w:r>
        <w:t>uwierzytelnianie użytkowników i sesji</w:t>
      </w:r>
    </w:p>
    <w:p>
      <w:pPr>
        <w:pStyle w:val="ListBullet"/>
      </w:pPr>
      <w:r>
        <w:t>kontrola dostępu zależna od roli (np. właściciel, pracownik, stanowisko wspólne, administrator techniczny)</w:t>
      </w:r>
    </w:p>
    <w:p>
      <w:pPr>
        <w:pStyle w:val="ListBullet"/>
      </w:pPr>
      <w:r>
        <w:t>logiczne oddzielenie danych poszczególnych salonów i autoryzacja operacji backendowych</w:t>
      </w:r>
    </w:p>
    <w:p>
      <w:pPr>
        <w:pStyle w:val="ListBullet"/>
      </w:pPr>
      <w:r>
        <w:t>minimalizacja publicznie dostępnych kluczy/sekretów; stosowanie po stronie klienta jedynie kluczy przeznaczonych do publikacji</w:t>
      </w:r>
    </w:p>
    <w:p>
      <w:pPr>
        <w:pStyle w:val="ListBullet"/>
      </w:pPr>
      <w:r>
        <w:t>lokalne szyfrowanie zapamiętanych poświadczeń przy użyciu Web Crypto/AES-GCM, gdy funkcja zapamiętania jest aktywna i technicznie wspierana</w:t>
      </w:r>
    </w:p>
    <w:p>
      <w:pPr>
        <w:pStyle w:val="ListBullet"/>
      </w:pPr>
      <w:r>
        <w:t>mechanizmy aktualizacji PWA i Service Workera</w:t>
      </w:r>
    </w:p>
    <w:p>
      <w:pPr>
        <w:pStyle w:val="ListBullet"/>
      </w:pPr>
      <w:r>
        <w:t>ograniczenie i ewidencjonowanie dostępu administracyjnego w rozsądnym zakresie</w:t>
      </w:r>
    </w:p>
    <w:p>
      <w:pPr>
        <w:pStyle w:val="ListBullet"/>
      </w:pPr>
      <w:r>
        <w:t>kopie/eksport danych oraz procedury odtwarzania stosownie do funkcji i dostawców</w:t>
      </w:r>
    </w:p>
    <w:p>
      <w:pPr>
        <w:pStyle w:val="ListBullet"/>
      </w:pPr>
      <w:r>
        <w:t>zarządzanie podatnościami, aktualizacjami i incydentami</w:t>
      </w:r>
    </w:p>
    <w:p>
      <w:pPr>
        <w:pStyle w:val="ListBullet"/>
      </w:pPr>
      <w:r>
        <w:t>procedura usuwania danych po zakończeniu umowy</w:t>
      </w:r>
    </w:p>
    <w:p>
      <w:pPr>
        <w:pStyle w:val="Heading1"/>
      </w:pPr>
      <w:r>
        <w:t>Załącznik B – Główni podprocesorzy (stan na datę dokumentu)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cantSplit/>
          <w:tblHeader w:val="true"/>
        </w:trPr>
        <w:tc>
          <w:tcPr>
            <w:tcW w:type="dxa" w:w="2436"/>
            <w:shd w:fill="EDEDED"/>
          </w:tcPr>
          <w:p>
            <w:r>
              <w:rPr>
                <w:b/>
              </w:rPr>
              <w:t>Podmiot</w:t>
            </w:r>
          </w:p>
        </w:tc>
        <w:tc>
          <w:tcPr>
            <w:tcW w:type="dxa" w:w="2436"/>
            <w:shd w:fill="EDEDED"/>
          </w:tcPr>
          <w:p>
            <w:r>
              <w:rPr>
                <w:b/>
              </w:rPr>
              <w:t>Rola</w:t>
            </w:r>
          </w:p>
        </w:tc>
        <w:tc>
          <w:tcPr>
            <w:tcW w:type="dxa" w:w="2436"/>
            <w:shd w:fill="EDEDED"/>
          </w:tcPr>
          <w:p>
            <w:r>
              <w:rPr>
                <w:b/>
              </w:rPr>
              <w:t>Lokalizacja / uwagi</w:t>
            </w:r>
          </w:p>
        </w:tc>
        <w:tc>
          <w:tcPr>
            <w:tcW w:type="dxa" w:w="2436"/>
            <w:shd w:fill="EDEDED"/>
          </w:tcPr>
          <w:p>
            <w:r>
              <w:rPr>
                <w:b/>
              </w:rPr>
              <w:t>Podstawa umowna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Supabase, Inc.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backend, baza danych, uwierzytelnianie, API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projekt w regionie Central EU (Frankfurt); procesy pomocnicze zgodnie z dokumentacją dostawcy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DPA Supabase; mechanizmy transferowe zgodne z RODO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Netlify, Inc.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hosting/front-end/CDN i obsługa żądań do aplikacji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możliwe przetwarzanie danych technicznych i transfery poza EOG zgodnie z DPA dostawcy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DPA Netlify; mechanizmy transferowe zgodne z RODO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Dostawca płatności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płatności/subskrypcje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nie wdrożono na dzień wersji dokumentu; dostawca zostanie wskazany przed uruchomieniem płatności online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DPA/warunki dostawcy po wdrożeniu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Plus Five Five, Inc. (Resend)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wiadomości transakcyjne / powiadomienia e-mail / wsparcie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dane klienta przechowywane w USA; region wysyłki e-mail nie zmienia miejsca przechowywania danych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t>DPA Resend; standardowe klauzule umowne (SCC) i EU-US Data Privacy Framework, gdy mają zastosowanie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footerReference w:type="even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87878"/>
        <w:sz w:val="16"/>
      </w:rPr>
      <w:t>Wersja dokumentu 1.1 • 18 września 2026 r.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color w:val="6E6E6E"/>
        <w:sz w:val="16"/>
      </w:rPr>
      <w:t>Salonivo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C1C1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